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A8" w:rsidRPr="00BC0F68" w:rsidRDefault="003D2BDB" w:rsidP="00BC0F68">
      <w:pPr>
        <w:pStyle w:val="Titre"/>
      </w:pPr>
      <w:bookmarkStart w:id="0" w:name="TM34"/>
      <w:bookmarkStart w:id="1" w:name="TM246"/>
      <w:bookmarkStart w:id="2" w:name="_Christ,_le_Germe"/>
      <w:bookmarkEnd w:id="0"/>
      <w:bookmarkEnd w:id="1"/>
      <w:bookmarkEnd w:id="2"/>
      <w:r w:rsidRPr="00BC0F68">
        <w:t>Christ, le Germe</w:t>
      </w:r>
    </w:p>
    <w:p w:rsidR="00D322A8" w:rsidRPr="003D2BDB" w:rsidRDefault="006B6429" w:rsidP="003D2BDB">
      <w:pPr>
        <w:pStyle w:val="Titre2"/>
      </w:pPr>
      <w:bookmarkStart w:id="3" w:name="TM35"/>
      <w:bookmarkStart w:id="4" w:name="TM247"/>
      <w:bookmarkStart w:id="5" w:name="_GoBack"/>
      <w:bookmarkEnd w:id="3"/>
      <w:r w:rsidRPr="003D2BDB">
        <w:t>Christ, vrai grain de blé</w:t>
      </w:r>
      <w:bookmarkEnd w:id="4"/>
    </w:p>
    <w:bookmarkEnd w:id="5"/>
    <w:p w:rsidR="00D322A8" w:rsidRDefault="006B6429" w:rsidP="003D2BDB">
      <w:pPr>
        <w:rPr>
          <w:lang w:val="fr-FR"/>
        </w:rPr>
      </w:pPr>
      <w:r>
        <w:rPr>
          <w:lang w:val="fr-FR"/>
        </w:rPr>
        <w:t xml:space="preserve">Il est aussi le </w:t>
      </w:r>
      <w:r>
        <w:rPr>
          <w:b/>
          <w:bCs/>
          <w:lang w:val="fr-FR"/>
        </w:rPr>
        <w:t>rejeton</w:t>
      </w:r>
      <w:r>
        <w:rPr>
          <w:lang w:val="fr-FR"/>
        </w:rPr>
        <w:t xml:space="preserve"> </w:t>
      </w:r>
      <w:r w:rsidRPr="00BC0F68">
        <w:rPr>
          <w:color w:val="984806" w:themeColor="accent6" w:themeShade="80"/>
          <w:lang w:val="fr-FR"/>
        </w:rPr>
        <w:t>(1*)</w:t>
      </w:r>
      <w:r>
        <w:rPr>
          <w:lang w:val="fr-FR"/>
        </w:rPr>
        <w:t xml:space="preserve">, la </w:t>
      </w:r>
      <w:r>
        <w:rPr>
          <w:b/>
          <w:bCs/>
          <w:lang w:val="fr-FR"/>
        </w:rPr>
        <w:t>racine</w:t>
      </w:r>
      <w:r>
        <w:rPr>
          <w:lang w:val="fr-FR"/>
        </w:rPr>
        <w:t xml:space="preserve">, la </w:t>
      </w:r>
      <w:r>
        <w:rPr>
          <w:b/>
          <w:bCs/>
          <w:lang w:val="fr-FR"/>
        </w:rPr>
        <w:t>branche</w:t>
      </w:r>
      <w:r>
        <w:rPr>
          <w:lang w:val="fr-FR"/>
        </w:rPr>
        <w:t xml:space="preserve">, le </w:t>
      </w:r>
      <w:r>
        <w:rPr>
          <w:b/>
          <w:bCs/>
          <w:lang w:val="fr-FR"/>
        </w:rPr>
        <w:t>cep</w:t>
      </w:r>
      <w:r>
        <w:rPr>
          <w:lang w:val="fr-FR"/>
        </w:rPr>
        <w:t xml:space="preserve"> </w:t>
      </w:r>
      <w:r w:rsidRPr="00BC0F68">
        <w:rPr>
          <w:color w:val="984806" w:themeColor="accent6" w:themeShade="80"/>
          <w:lang w:val="fr-FR"/>
        </w:rPr>
        <w:t>(2*)</w:t>
      </w:r>
      <w:r>
        <w:rPr>
          <w:lang w:val="fr-FR"/>
        </w:rPr>
        <w:t xml:space="preserve">, la </w:t>
      </w:r>
      <w:r>
        <w:rPr>
          <w:b/>
          <w:bCs/>
          <w:lang w:val="fr-FR"/>
        </w:rPr>
        <w:t>plante</w:t>
      </w:r>
      <w:r>
        <w:rPr>
          <w:lang w:val="fr-FR"/>
        </w:rPr>
        <w:t xml:space="preserve"> et le </w:t>
      </w:r>
      <w:r>
        <w:rPr>
          <w:b/>
          <w:bCs/>
          <w:lang w:val="fr-FR"/>
        </w:rPr>
        <w:t>provin</w:t>
      </w:r>
      <w:r>
        <w:rPr>
          <w:lang w:val="fr-FR"/>
        </w:rPr>
        <w:t xml:space="preserve"> </w:t>
      </w:r>
      <w:r w:rsidRPr="00BC0F68">
        <w:rPr>
          <w:color w:val="984806" w:themeColor="accent6" w:themeShade="80"/>
          <w:lang w:val="fr-FR"/>
        </w:rPr>
        <w:t>(3*)</w:t>
      </w:r>
      <w:r>
        <w:rPr>
          <w:lang w:val="fr-FR"/>
        </w:rPr>
        <w:t xml:space="preserve"> de l’Éternel</w:t>
      </w:r>
    </w:p>
    <w:p w:rsidR="00BC0F68" w:rsidRDefault="00BC0F68" w:rsidP="003D2BDB">
      <w:pPr>
        <w:rPr>
          <w:lang w:val="fr-FR"/>
        </w:rPr>
      </w:pPr>
    </w:p>
    <w:p w:rsidR="00D322A8" w:rsidRPr="00BC0F68" w:rsidRDefault="006B6429" w:rsidP="003D2BDB">
      <w:pPr>
        <w:rPr>
          <w:color w:val="984806" w:themeColor="accent6" w:themeShade="80"/>
          <w:sz w:val="20"/>
          <w:szCs w:val="20"/>
          <w:lang w:val="fr-FR"/>
        </w:rPr>
      </w:pPr>
      <w:r w:rsidRPr="00BC0F68">
        <w:rPr>
          <w:color w:val="984806" w:themeColor="accent6" w:themeShade="80"/>
          <w:sz w:val="20"/>
          <w:szCs w:val="20"/>
          <w:lang w:val="fr-FR"/>
        </w:rPr>
        <w:t xml:space="preserve">(1*) </w:t>
      </w:r>
      <w:r w:rsidRPr="00BC0F68">
        <w:rPr>
          <w:b/>
          <w:bCs/>
          <w:color w:val="984806" w:themeColor="accent6" w:themeShade="80"/>
          <w:sz w:val="20"/>
          <w:szCs w:val="20"/>
          <w:lang w:val="fr-FR"/>
        </w:rPr>
        <w:t>Rejeton</w:t>
      </w:r>
      <w:r w:rsidRPr="00BC0F68">
        <w:rPr>
          <w:color w:val="984806" w:themeColor="accent6" w:themeShade="80"/>
          <w:sz w:val="20"/>
          <w:szCs w:val="20"/>
          <w:lang w:val="fr-FR"/>
        </w:rPr>
        <w:t xml:space="preserve"> (ou rejet) : nouvelle pousse sur la souche ou la tige d’une plante.</w:t>
      </w:r>
    </w:p>
    <w:p w:rsidR="00D322A8" w:rsidRPr="00BC0F68" w:rsidRDefault="006B6429" w:rsidP="003D2BDB">
      <w:pPr>
        <w:rPr>
          <w:color w:val="984806" w:themeColor="accent6" w:themeShade="80"/>
          <w:sz w:val="20"/>
          <w:szCs w:val="20"/>
          <w:lang w:val="fr-FR"/>
        </w:rPr>
      </w:pPr>
      <w:r w:rsidRPr="00BC0F68">
        <w:rPr>
          <w:color w:val="984806" w:themeColor="accent6" w:themeShade="80"/>
          <w:sz w:val="20"/>
          <w:szCs w:val="20"/>
          <w:lang w:val="fr-FR"/>
        </w:rPr>
        <w:t xml:space="preserve">(2*) </w:t>
      </w:r>
      <w:r w:rsidRPr="00BC0F68">
        <w:rPr>
          <w:b/>
          <w:bCs/>
          <w:color w:val="984806" w:themeColor="accent6" w:themeShade="80"/>
          <w:sz w:val="20"/>
          <w:szCs w:val="20"/>
          <w:lang w:val="fr-FR"/>
        </w:rPr>
        <w:t>Cep</w:t>
      </w:r>
      <w:r w:rsidRPr="00BC0F68">
        <w:rPr>
          <w:color w:val="984806" w:themeColor="accent6" w:themeShade="80"/>
          <w:sz w:val="20"/>
          <w:szCs w:val="20"/>
          <w:lang w:val="fr-FR"/>
        </w:rPr>
        <w:t> : pied de vigne. Jésus est le vrai cep (Jean 15:1).</w:t>
      </w:r>
    </w:p>
    <w:p w:rsidR="00D322A8" w:rsidRPr="00BC0F68" w:rsidRDefault="006B6429" w:rsidP="003D2BDB">
      <w:pPr>
        <w:rPr>
          <w:color w:val="984806" w:themeColor="accent6" w:themeShade="80"/>
          <w:sz w:val="20"/>
          <w:szCs w:val="20"/>
          <w:lang w:val="fr-FR"/>
        </w:rPr>
      </w:pPr>
      <w:r w:rsidRPr="00BC0F68">
        <w:rPr>
          <w:color w:val="984806" w:themeColor="accent6" w:themeShade="80"/>
          <w:sz w:val="20"/>
          <w:szCs w:val="20"/>
          <w:lang w:val="fr-FR"/>
        </w:rPr>
        <w:t xml:space="preserve">(3*) </w:t>
      </w:r>
      <w:r w:rsidRPr="00BC0F68">
        <w:rPr>
          <w:b/>
          <w:bCs/>
          <w:color w:val="984806" w:themeColor="accent6" w:themeShade="80"/>
          <w:sz w:val="20"/>
          <w:szCs w:val="20"/>
          <w:lang w:val="fr-FR"/>
        </w:rPr>
        <w:t>Provin</w:t>
      </w:r>
      <w:r w:rsidRPr="00BC0F68">
        <w:rPr>
          <w:color w:val="984806" w:themeColor="accent6" w:themeShade="80"/>
          <w:sz w:val="20"/>
          <w:szCs w:val="20"/>
          <w:lang w:val="fr-FR"/>
        </w:rPr>
        <w:t> : rejeton d’un cep de vigne mis en terre pour prendre racine et former un nouveau cep.</w:t>
      </w:r>
    </w:p>
    <w:p w:rsidR="00BC0F68" w:rsidRDefault="00BC0F68" w:rsidP="003D2BDB">
      <w:pPr>
        <w:rPr>
          <w:lang w:val="fr-FR"/>
        </w:rPr>
      </w:pPr>
    </w:p>
    <w:p w:rsidR="00D322A8" w:rsidRDefault="006B6429" w:rsidP="003D2BDB">
      <w:pPr>
        <w:rPr>
          <w:lang w:val="fr-FR"/>
        </w:rPr>
      </w:pPr>
      <w:r>
        <w:rPr>
          <w:lang w:val="fr-FR"/>
        </w:rPr>
        <w:t>«Et il sortira un rejeton du tronc d’</w:t>
      </w:r>
      <w:proofErr w:type="spellStart"/>
      <w:r>
        <w:rPr>
          <w:lang w:val="fr-FR"/>
        </w:rPr>
        <w:t>Isaï</w:t>
      </w:r>
      <w:proofErr w:type="spellEnd"/>
      <w:r>
        <w:rPr>
          <w:lang w:val="fr-FR"/>
        </w:rPr>
        <w:t>, et une branche de ses racines fructifiera» (</w:t>
      </w:r>
      <w:proofErr w:type="spellStart"/>
      <w:r>
        <w:rPr>
          <w:lang w:val="fr-FR"/>
        </w:rPr>
        <w:t>És</w:t>
      </w:r>
      <w:proofErr w:type="spellEnd"/>
      <w:r>
        <w:rPr>
          <w:lang w:val="fr-FR"/>
        </w:rPr>
        <w:t>. 11:1)</w:t>
      </w:r>
    </w:p>
    <w:p w:rsidR="00BC0F68" w:rsidRDefault="00BC0F68" w:rsidP="003D2BDB">
      <w:pPr>
        <w:rPr>
          <w:lang w:val="fr-FR"/>
        </w:rPr>
      </w:pPr>
    </w:p>
    <w:p w:rsidR="00D322A8" w:rsidRDefault="006B6429" w:rsidP="003D2BDB">
      <w:pPr>
        <w:rPr>
          <w:lang w:val="fr-FR"/>
        </w:rPr>
      </w:pPr>
      <w:r>
        <w:rPr>
          <w:lang w:val="fr-FR"/>
        </w:rPr>
        <w:t>«Il montera devant lui (l’Éternel) comme un rejeton, et comme une racine sortant d’une terre aride» (</w:t>
      </w:r>
      <w:proofErr w:type="spellStart"/>
      <w:r>
        <w:rPr>
          <w:lang w:val="fr-FR"/>
        </w:rPr>
        <w:t>És</w:t>
      </w:r>
      <w:proofErr w:type="spellEnd"/>
      <w:r>
        <w:rPr>
          <w:lang w:val="fr-FR"/>
        </w:rPr>
        <w:t>. 53:2)</w:t>
      </w:r>
    </w:p>
    <w:p w:rsidR="00BC0F68" w:rsidRDefault="00BC0F68" w:rsidP="003D2BDB">
      <w:pPr>
        <w:rPr>
          <w:lang w:val="fr-FR"/>
        </w:rPr>
      </w:pPr>
    </w:p>
    <w:p w:rsidR="00D322A8" w:rsidRDefault="006B6429" w:rsidP="003D2BDB">
      <w:pPr>
        <w:rPr>
          <w:lang w:val="fr-FR"/>
        </w:rPr>
      </w:pPr>
      <w:r>
        <w:rPr>
          <w:lang w:val="fr-FR"/>
        </w:rPr>
        <w:t xml:space="preserve">«Ô Dieu des armées ! </w:t>
      </w:r>
      <w:proofErr w:type="gramStart"/>
      <w:r>
        <w:rPr>
          <w:lang w:val="fr-FR"/>
        </w:rPr>
        <w:t>retourne</w:t>
      </w:r>
      <w:proofErr w:type="gramEnd"/>
      <w:r>
        <w:rPr>
          <w:lang w:val="fr-FR"/>
        </w:rPr>
        <w:t>, je te prie ; regarde des cieux et vois, et visite ce cep, et la plante que ta droite a plantée, et le provin que tu avais fortifié pour toi» (Ps. 80:14, 15)</w:t>
      </w:r>
    </w:p>
    <w:p w:rsidR="00D322A8" w:rsidRPr="003D2BDB" w:rsidRDefault="006B6429" w:rsidP="003D2BDB">
      <w:pPr>
        <w:pStyle w:val="Titre2"/>
      </w:pPr>
      <w:bookmarkStart w:id="6" w:name="TM36"/>
      <w:bookmarkStart w:id="7" w:name="TM248"/>
      <w:bookmarkEnd w:id="6"/>
      <w:r w:rsidRPr="003D2BDB">
        <w:t>Christ, le Germe</w:t>
      </w:r>
      <w:bookmarkEnd w:id="7"/>
    </w:p>
    <w:p w:rsidR="00D322A8" w:rsidRDefault="006B6429" w:rsidP="003D2BDB">
      <w:pPr>
        <w:rPr>
          <w:lang w:val="fr-FR"/>
        </w:rPr>
      </w:pPr>
      <w:r>
        <w:rPr>
          <w:lang w:val="fr-FR"/>
        </w:rPr>
        <w:t>Christ, le Germe de l’Éternel, est présenté par la parole prophétique sous les quatre caractères de Roi, Serviteur, Homme et Fils de Dieu, ceux des quatre évangiles.</w:t>
      </w:r>
    </w:p>
    <w:p w:rsidR="00D322A8" w:rsidRDefault="006B6429">
      <w:pPr>
        <w:pStyle w:val="Titre3"/>
        <w:rPr>
          <w:rFonts w:eastAsia="Times New Roman"/>
          <w:lang w:val="fr-FR"/>
        </w:rPr>
      </w:pPr>
      <w:bookmarkStart w:id="8" w:name="TM249"/>
      <w:r>
        <w:rPr>
          <w:rFonts w:eastAsia="Times New Roman"/>
          <w:lang w:val="fr-FR"/>
        </w:rPr>
        <w:t>Le Germe. Roi et Messie (Matthieu)</w:t>
      </w:r>
      <w:bookmarkEnd w:id="8"/>
    </w:p>
    <w:p w:rsidR="00D322A8" w:rsidRDefault="006B6429" w:rsidP="003D2BDB">
      <w:pPr>
        <w:rPr>
          <w:lang w:val="fr-FR"/>
        </w:rPr>
      </w:pPr>
      <w:r>
        <w:rPr>
          <w:lang w:val="fr-FR"/>
        </w:rPr>
        <w:t>«Voici, les jours viennent, dit l’Éternel, et je susciterai à David un Germe juste ; et il régnera en roi, et prospérera, et exercera le jugement et la justice dans le pays ... c’est ici le nom dont on l’appellera : l’Éternel notre justice» (</w:t>
      </w:r>
      <w:proofErr w:type="spellStart"/>
      <w:r>
        <w:rPr>
          <w:lang w:val="fr-FR"/>
        </w:rPr>
        <w:t>Jér</w:t>
      </w:r>
      <w:proofErr w:type="spellEnd"/>
      <w:r>
        <w:rPr>
          <w:lang w:val="fr-FR"/>
        </w:rPr>
        <w:t>. 23:5, 6)</w:t>
      </w:r>
    </w:p>
    <w:p w:rsidR="00BC0F68" w:rsidRDefault="00BC0F68" w:rsidP="003D2BDB">
      <w:pPr>
        <w:rPr>
          <w:lang w:val="fr-FR"/>
        </w:rPr>
      </w:pPr>
    </w:p>
    <w:p w:rsidR="00D322A8" w:rsidRDefault="006B6429" w:rsidP="003D2BDB">
      <w:pPr>
        <w:rPr>
          <w:lang w:val="fr-FR"/>
        </w:rPr>
      </w:pPr>
      <w:r>
        <w:rPr>
          <w:lang w:val="fr-FR"/>
        </w:rPr>
        <w:t>«En ces jours-là, et en ce temps-là, je ferai germer à David un Germe de justice, et il exercera le jugement et la justice dans le pays» (</w:t>
      </w:r>
      <w:proofErr w:type="spellStart"/>
      <w:r>
        <w:rPr>
          <w:lang w:val="fr-FR"/>
        </w:rPr>
        <w:t>Jér</w:t>
      </w:r>
      <w:proofErr w:type="spellEnd"/>
      <w:r>
        <w:rPr>
          <w:lang w:val="fr-FR"/>
        </w:rPr>
        <w:t>. 33:15)</w:t>
      </w:r>
    </w:p>
    <w:p w:rsidR="00D322A8" w:rsidRDefault="006B6429">
      <w:pPr>
        <w:pStyle w:val="Titre3"/>
        <w:rPr>
          <w:rFonts w:eastAsia="Times New Roman"/>
          <w:lang w:val="fr-FR"/>
        </w:rPr>
      </w:pPr>
      <w:bookmarkStart w:id="9" w:name="TM250"/>
      <w:r>
        <w:rPr>
          <w:rFonts w:eastAsia="Times New Roman"/>
          <w:lang w:val="fr-FR"/>
        </w:rPr>
        <w:t>Le Germe, Serviteur et Prophète (Marc)</w:t>
      </w:r>
      <w:bookmarkEnd w:id="9"/>
    </w:p>
    <w:p w:rsidR="00D322A8" w:rsidRDefault="006B6429" w:rsidP="003D2BDB">
      <w:pPr>
        <w:rPr>
          <w:lang w:val="fr-FR"/>
        </w:rPr>
      </w:pPr>
      <w:r>
        <w:rPr>
          <w:lang w:val="fr-FR"/>
        </w:rPr>
        <w:t>«Car voici, je ferai venir mon serviteur, le Germe» (</w:t>
      </w:r>
      <w:proofErr w:type="spellStart"/>
      <w:r>
        <w:rPr>
          <w:lang w:val="fr-FR"/>
        </w:rPr>
        <w:t>Zach</w:t>
      </w:r>
      <w:proofErr w:type="spellEnd"/>
      <w:r>
        <w:rPr>
          <w:lang w:val="fr-FR"/>
        </w:rPr>
        <w:t>. 3:8)</w:t>
      </w:r>
    </w:p>
    <w:p w:rsidR="00D322A8" w:rsidRDefault="006B6429">
      <w:pPr>
        <w:pStyle w:val="Titre3"/>
        <w:rPr>
          <w:rFonts w:eastAsia="Times New Roman"/>
          <w:lang w:val="fr-FR"/>
        </w:rPr>
      </w:pPr>
      <w:bookmarkStart w:id="10" w:name="TM251"/>
      <w:r>
        <w:rPr>
          <w:rFonts w:eastAsia="Times New Roman"/>
          <w:lang w:val="fr-FR"/>
        </w:rPr>
        <w:t>Le Germe, Fils de l’homme (Luc)</w:t>
      </w:r>
      <w:bookmarkEnd w:id="10"/>
    </w:p>
    <w:p w:rsidR="00D322A8" w:rsidRDefault="006B6429" w:rsidP="003D2BDB">
      <w:pPr>
        <w:rPr>
          <w:lang w:val="fr-FR"/>
        </w:rPr>
      </w:pPr>
      <w:r>
        <w:rPr>
          <w:lang w:val="fr-FR"/>
        </w:rPr>
        <w:t>Ainsi parle l’Éternel des armées, disant : Voici un homme dont le nom est Germe, et il germera de son propre lieu, et il bâtira le temple de l’Éternel» (</w:t>
      </w:r>
      <w:proofErr w:type="spellStart"/>
      <w:r>
        <w:rPr>
          <w:lang w:val="fr-FR"/>
        </w:rPr>
        <w:t>Zach</w:t>
      </w:r>
      <w:proofErr w:type="spellEnd"/>
      <w:r>
        <w:rPr>
          <w:lang w:val="fr-FR"/>
        </w:rPr>
        <w:t>. 6:12)</w:t>
      </w:r>
    </w:p>
    <w:p w:rsidR="00D322A8" w:rsidRDefault="006B6429">
      <w:pPr>
        <w:pStyle w:val="Titre3"/>
        <w:rPr>
          <w:rFonts w:eastAsia="Times New Roman"/>
          <w:lang w:val="fr-FR"/>
        </w:rPr>
      </w:pPr>
      <w:bookmarkStart w:id="11" w:name="TM252"/>
      <w:r>
        <w:rPr>
          <w:rFonts w:eastAsia="Times New Roman"/>
          <w:lang w:val="fr-FR"/>
        </w:rPr>
        <w:t>Le Germe, Fils de Dieu(Jean)</w:t>
      </w:r>
      <w:bookmarkEnd w:id="11"/>
    </w:p>
    <w:p w:rsidR="00D322A8" w:rsidRDefault="006B6429" w:rsidP="003D2BDB">
      <w:pPr>
        <w:rPr>
          <w:lang w:val="fr-FR"/>
        </w:rPr>
      </w:pPr>
      <w:r>
        <w:rPr>
          <w:lang w:val="fr-FR"/>
        </w:rPr>
        <w:t>«En ce jour-là, il y aura un germe de l’Éternel pour splendeur et pour gloire, et le fruit de la terre, pour magnificence et pour ornement, pour les réchappés d’Israël» (</w:t>
      </w:r>
      <w:proofErr w:type="spellStart"/>
      <w:r>
        <w:rPr>
          <w:lang w:val="fr-FR"/>
        </w:rPr>
        <w:t>És</w:t>
      </w:r>
      <w:proofErr w:type="spellEnd"/>
      <w:r>
        <w:rPr>
          <w:lang w:val="fr-FR"/>
        </w:rPr>
        <w:t>. 4:2)</w:t>
      </w:r>
    </w:p>
    <w:p w:rsidR="00D322A8" w:rsidRDefault="006B6429">
      <w:pPr>
        <w:pStyle w:val="Titre2"/>
        <w:rPr>
          <w:rFonts w:eastAsia="Times New Roman"/>
          <w:lang w:val="fr-FR"/>
        </w:rPr>
      </w:pPr>
      <w:bookmarkStart w:id="12" w:name="TM37"/>
      <w:bookmarkStart w:id="13" w:name="TM253"/>
      <w:bookmarkEnd w:id="12"/>
      <w:r>
        <w:rPr>
          <w:rFonts w:eastAsia="Times New Roman"/>
          <w:lang w:val="fr-FR"/>
        </w:rPr>
        <w:t>Christ, le Germe, se lève, meurt et ressuscite en puissance</w:t>
      </w:r>
      <w:bookmarkEnd w:id="13"/>
    </w:p>
    <w:p w:rsidR="00D322A8" w:rsidRDefault="006B6429" w:rsidP="003D2BDB">
      <w:pPr>
        <w:rPr>
          <w:lang w:val="fr-FR"/>
        </w:rPr>
      </w:pPr>
      <w:r>
        <w:rPr>
          <w:lang w:val="fr-FR"/>
        </w:rPr>
        <w:t>Par la venue de Christ sur la terre, la lumière du ciel se lève : C’est «l’Orient d’en haut» (Luc 1:78).</w:t>
      </w:r>
    </w:p>
    <w:p w:rsidR="00BC0F68" w:rsidRDefault="006B6429" w:rsidP="003D2BDB">
      <w:pPr>
        <w:rPr>
          <w:lang w:val="fr-FR"/>
        </w:rPr>
      </w:pPr>
      <w:r>
        <w:rPr>
          <w:lang w:val="fr-FR"/>
        </w:rPr>
        <w:t xml:space="preserve">Mais Christ doit mourir pour communiquer la vie : </w:t>
      </w:r>
    </w:p>
    <w:p w:rsidR="00BC0F68" w:rsidRDefault="006B6429" w:rsidP="003D2BDB">
      <w:pPr>
        <w:rPr>
          <w:lang w:val="fr-FR"/>
        </w:rPr>
      </w:pPr>
      <w:r>
        <w:rPr>
          <w:lang w:val="fr-FR"/>
        </w:rPr>
        <w:t>«À moins que le grain de blé, tombant en terre, ne meure, il demeure seul ; mais s’il meurt, il porte beaucoup de fruit» (Jean 12:24).</w:t>
      </w:r>
    </w:p>
    <w:p w:rsidR="00BC0F68" w:rsidRDefault="006B6429" w:rsidP="003D2BDB">
      <w:pPr>
        <w:rPr>
          <w:lang w:val="fr-FR"/>
        </w:rPr>
      </w:pPr>
      <w:r>
        <w:rPr>
          <w:lang w:val="fr-FR"/>
        </w:rPr>
        <w:t xml:space="preserve"> </w:t>
      </w:r>
    </w:p>
    <w:p w:rsidR="00BC0F68" w:rsidRDefault="006B6429" w:rsidP="003D2BDB">
      <w:pPr>
        <w:rPr>
          <w:lang w:val="fr-FR"/>
        </w:rPr>
      </w:pPr>
      <w:r>
        <w:rPr>
          <w:lang w:val="fr-FR"/>
        </w:rPr>
        <w:t xml:space="preserve">À la croix, s’accomplit la prophétie : </w:t>
      </w:r>
    </w:p>
    <w:p w:rsidR="00D322A8" w:rsidRDefault="006B6429" w:rsidP="003D2BDB">
      <w:pPr>
        <w:rPr>
          <w:lang w:val="fr-FR"/>
        </w:rPr>
      </w:pPr>
      <w:r>
        <w:rPr>
          <w:lang w:val="fr-FR"/>
        </w:rPr>
        <w:t>« La vérité germera de la terre, et la justice regardera des cieux» (Ps. 85:11)</w:t>
      </w:r>
    </w:p>
    <w:p w:rsidR="00BC0F68" w:rsidRDefault="00BC0F68" w:rsidP="003D2BDB">
      <w:pPr>
        <w:rPr>
          <w:lang w:val="fr-FR"/>
        </w:rPr>
      </w:pPr>
    </w:p>
    <w:p w:rsidR="00BC0F68" w:rsidRDefault="006B6429" w:rsidP="003D2BDB">
      <w:pPr>
        <w:rPr>
          <w:lang w:val="fr-FR"/>
        </w:rPr>
      </w:pPr>
      <w:r>
        <w:rPr>
          <w:lang w:val="fr-FR"/>
        </w:rPr>
        <w:t xml:space="preserve">Alors, Christ se lève en vie de résurrection, Souverain Sacrificateur pour l’éternité : </w:t>
      </w:r>
    </w:p>
    <w:p w:rsidR="00D322A8" w:rsidRDefault="006B6429" w:rsidP="003D2BDB">
      <w:pPr>
        <w:rPr>
          <w:lang w:val="fr-FR"/>
        </w:rPr>
      </w:pPr>
      <w:r>
        <w:rPr>
          <w:lang w:val="fr-FR"/>
        </w:rPr>
        <w:t>«Notre Seigneur a surgi de Juda.... un autre sacrificateur se lève... dans la puissance d’une vie impérissable» (</w:t>
      </w:r>
      <w:proofErr w:type="spellStart"/>
      <w:r>
        <w:rPr>
          <w:lang w:val="fr-FR"/>
        </w:rPr>
        <w:t>Héb</w:t>
      </w:r>
      <w:proofErr w:type="spellEnd"/>
      <w:r>
        <w:rPr>
          <w:lang w:val="fr-FR"/>
        </w:rPr>
        <w:t>. 7:14-16)</w:t>
      </w:r>
    </w:p>
    <w:sectPr w:rsidR="00D322A8" w:rsidSect="00BC0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80EAF"/>
    <w:multiLevelType w:val="hybridMultilevel"/>
    <w:tmpl w:val="12E6726E"/>
    <w:lvl w:ilvl="0" w:tplc="6C88F606">
      <w:start w:val="1"/>
      <w:numFmt w:val="decimal"/>
      <w:pStyle w:val="Titre3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B433F"/>
    <w:rsid w:val="000210C7"/>
    <w:rsid w:val="000F6F27"/>
    <w:rsid w:val="001033F5"/>
    <w:rsid w:val="003A2CB5"/>
    <w:rsid w:val="003D2BDB"/>
    <w:rsid w:val="006B6429"/>
    <w:rsid w:val="009B433F"/>
    <w:rsid w:val="00BC0F68"/>
    <w:rsid w:val="00D3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DB"/>
    <w:pPr>
      <w:jc w:val="both"/>
    </w:pPr>
    <w:rPr>
      <w:rFonts w:ascii="Calibri" w:eastAsiaTheme="minorEastAsia" w:hAnsi="Calibri"/>
      <w:sz w:val="22"/>
      <w:szCs w:val="24"/>
    </w:rPr>
  </w:style>
  <w:style w:type="paragraph" w:styleId="Titre1">
    <w:name w:val="heading 1"/>
    <w:next w:val="Normal"/>
    <w:link w:val="Titre1Car"/>
    <w:uiPriority w:val="9"/>
    <w:qFormat/>
    <w:rsid w:val="003D2BDB"/>
    <w:pPr>
      <w:tabs>
        <w:tab w:val="num" w:pos="432"/>
      </w:tabs>
      <w:spacing w:before="240" w:after="240"/>
      <w:outlineLvl w:val="0"/>
    </w:pPr>
    <w:rPr>
      <w:rFonts w:ascii="Calibri" w:eastAsiaTheme="minorEastAsia" w:hAnsi="Calibri"/>
      <w:b/>
      <w:bCs/>
      <w:color w:val="002060"/>
      <w:sz w:val="32"/>
      <w:szCs w:val="32"/>
    </w:rPr>
  </w:style>
  <w:style w:type="paragraph" w:styleId="Titre2">
    <w:name w:val="heading 2"/>
    <w:next w:val="Normal"/>
    <w:link w:val="Titre2Car"/>
    <w:uiPriority w:val="9"/>
    <w:qFormat/>
    <w:rsid w:val="00BC0F68"/>
    <w:pPr>
      <w:tabs>
        <w:tab w:val="num" w:pos="576"/>
      </w:tabs>
      <w:spacing w:before="120" w:after="120"/>
      <w:outlineLvl w:val="1"/>
    </w:pPr>
    <w:rPr>
      <w:rFonts w:ascii="Calibri" w:eastAsiaTheme="minorEastAsia" w:hAnsi="Calibri"/>
      <w:b/>
      <w:bCs/>
      <w:color w:val="002060"/>
      <w:sz w:val="28"/>
      <w:szCs w:val="28"/>
    </w:rPr>
  </w:style>
  <w:style w:type="paragraph" w:styleId="Titre3">
    <w:name w:val="heading 3"/>
    <w:next w:val="Normal"/>
    <w:link w:val="Titre3Car"/>
    <w:uiPriority w:val="9"/>
    <w:qFormat/>
    <w:rsid w:val="00BC0F68"/>
    <w:pPr>
      <w:numPr>
        <w:numId w:val="1"/>
      </w:numPr>
      <w:spacing w:before="240" w:after="240"/>
      <w:ind w:left="357" w:hanging="357"/>
      <w:outlineLvl w:val="2"/>
    </w:pPr>
    <w:rPr>
      <w:rFonts w:ascii="Calibri" w:eastAsiaTheme="minorEastAsia" w:hAnsi="Calibri"/>
      <w:b/>
      <w:bCs/>
      <w:color w:val="002060"/>
      <w:sz w:val="22"/>
      <w:szCs w:val="24"/>
      <w:u w:val="single"/>
    </w:rPr>
  </w:style>
  <w:style w:type="paragraph" w:styleId="Titre4">
    <w:name w:val="heading 4"/>
    <w:next w:val="Normal"/>
    <w:link w:val="Titre4Car"/>
    <w:uiPriority w:val="9"/>
    <w:qFormat/>
    <w:pPr>
      <w:tabs>
        <w:tab w:val="num" w:pos="864"/>
      </w:tabs>
      <w:spacing w:before="120" w:after="120"/>
      <w:ind w:firstLine="284"/>
      <w:outlineLvl w:val="3"/>
    </w:pPr>
    <w:rPr>
      <w:rFonts w:eastAsiaTheme="minorEastAsia"/>
      <w:b/>
      <w:bCs/>
      <w:iCs/>
      <w:color w:val="9900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D2BDB"/>
    <w:rPr>
      <w:rFonts w:ascii="Calibri" w:eastAsiaTheme="minorEastAsia" w:hAnsi="Calibri"/>
      <w:b/>
      <w:bCs/>
      <w:color w:val="00206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C0F68"/>
    <w:rPr>
      <w:rFonts w:ascii="Calibri" w:eastAsiaTheme="minorEastAsia" w:hAnsi="Calibri"/>
      <w:b/>
      <w:bCs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C0F68"/>
    <w:rPr>
      <w:rFonts w:ascii="Calibri" w:eastAsiaTheme="minorEastAsia" w:hAnsi="Calibri"/>
      <w:b/>
      <w:bCs/>
      <w:color w:val="002060"/>
      <w:sz w:val="22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Pr>
      <w:rFonts w:eastAsia="Times New Roman"/>
      <w:sz w:val="20"/>
      <w:szCs w:val="20"/>
    </w:rPr>
  </w:style>
  <w:style w:type="paragraph" w:styleId="TM2">
    <w:name w:val="toc 2"/>
    <w:basedOn w:val="Normal"/>
    <w:next w:val="Normal"/>
    <w:autoRedefine/>
    <w:uiPriority w:val="39"/>
    <w:semiHidden/>
    <w:unhideWhenUsed/>
    <w:pPr>
      <w:ind w:left="200"/>
    </w:pPr>
    <w:rPr>
      <w:rFonts w:eastAsia="Times New Roman"/>
      <w:sz w:val="20"/>
      <w:szCs w:val="20"/>
    </w:rPr>
  </w:style>
  <w:style w:type="paragraph" w:styleId="TM3">
    <w:name w:val="toc 3"/>
    <w:basedOn w:val="Normal"/>
    <w:next w:val="Normal"/>
    <w:autoRedefine/>
    <w:uiPriority w:val="39"/>
    <w:semiHidden/>
    <w:unhideWhenUsed/>
    <w:pPr>
      <w:ind w:left="400"/>
    </w:pPr>
    <w:rPr>
      <w:rFonts w:eastAsia="Times New Roman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pPr>
      <w:ind w:left="600"/>
    </w:pPr>
    <w:rPr>
      <w:rFonts w:eastAsia="Times New Roman"/>
      <w:sz w:val="20"/>
      <w:szCs w:val="20"/>
    </w:rPr>
  </w:style>
  <w:style w:type="paragraph" w:customStyle="1" w:styleId="Usuel">
    <w:name w:val="Usuel"/>
    <w:basedOn w:val="Normal"/>
    <w:pPr>
      <w:spacing w:line="300" w:lineRule="atLeast"/>
      <w:ind w:firstLine="567"/>
    </w:pPr>
    <w:rPr>
      <w:rFonts w:eastAsia="Times New Roman"/>
    </w:rPr>
  </w:style>
  <w:style w:type="paragraph" w:customStyle="1" w:styleId="Notes">
    <w:name w:val="Notes"/>
    <w:basedOn w:val="Usuel"/>
    <w:pPr>
      <w:spacing w:before="240" w:after="240"/>
    </w:pPr>
    <w:rPr>
      <w:rFonts w:ascii="Arial" w:hAnsi="Arial"/>
      <w:color w:val="00800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uiPriority w:val="10"/>
    <w:qFormat/>
    <w:rsid w:val="00BC0F6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0F68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DB"/>
    <w:pPr>
      <w:jc w:val="both"/>
    </w:pPr>
    <w:rPr>
      <w:rFonts w:ascii="Calibri" w:eastAsiaTheme="minorEastAsia" w:hAnsi="Calibri"/>
      <w:sz w:val="22"/>
      <w:szCs w:val="24"/>
    </w:rPr>
  </w:style>
  <w:style w:type="paragraph" w:styleId="Titre1">
    <w:name w:val="heading 1"/>
    <w:next w:val="Normal"/>
    <w:link w:val="Titre1Car"/>
    <w:uiPriority w:val="9"/>
    <w:qFormat/>
    <w:rsid w:val="003D2BDB"/>
    <w:pPr>
      <w:tabs>
        <w:tab w:val="num" w:pos="432"/>
      </w:tabs>
      <w:spacing w:before="240" w:after="240"/>
      <w:outlineLvl w:val="0"/>
    </w:pPr>
    <w:rPr>
      <w:rFonts w:ascii="Calibri" w:eastAsiaTheme="minorEastAsia" w:hAnsi="Calibri"/>
      <w:b/>
      <w:bCs/>
      <w:color w:val="002060"/>
      <w:sz w:val="32"/>
      <w:szCs w:val="32"/>
    </w:rPr>
  </w:style>
  <w:style w:type="paragraph" w:styleId="Titre2">
    <w:name w:val="heading 2"/>
    <w:next w:val="Normal"/>
    <w:link w:val="Titre2Car"/>
    <w:uiPriority w:val="9"/>
    <w:qFormat/>
    <w:rsid w:val="00BC0F68"/>
    <w:pPr>
      <w:tabs>
        <w:tab w:val="num" w:pos="576"/>
      </w:tabs>
      <w:spacing w:before="120" w:after="120"/>
      <w:outlineLvl w:val="1"/>
    </w:pPr>
    <w:rPr>
      <w:rFonts w:ascii="Calibri" w:eastAsiaTheme="minorEastAsia" w:hAnsi="Calibri"/>
      <w:b/>
      <w:bCs/>
      <w:color w:val="002060"/>
      <w:sz w:val="28"/>
      <w:szCs w:val="28"/>
    </w:rPr>
  </w:style>
  <w:style w:type="paragraph" w:styleId="Titre3">
    <w:name w:val="heading 3"/>
    <w:next w:val="Normal"/>
    <w:link w:val="Titre3Car"/>
    <w:uiPriority w:val="9"/>
    <w:qFormat/>
    <w:rsid w:val="00BC0F68"/>
    <w:pPr>
      <w:numPr>
        <w:numId w:val="1"/>
      </w:numPr>
      <w:spacing w:before="240" w:after="240"/>
      <w:ind w:left="357" w:hanging="357"/>
      <w:outlineLvl w:val="2"/>
    </w:pPr>
    <w:rPr>
      <w:rFonts w:ascii="Calibri" w:eastAsiaTheme="minorEastAsia" w:hAnsi="Calibri"/>
      <w:b/>
      <w:bCs/>
      <w:color w:val="002060"/>
      <w:sz w:val="22"/>
      <w:szCs w:val="24"/>
      <w:u w:val="single"/>
    </w:rPr>
  </w:style>
  <w:style w:type="paragraph" w:styleId="Titre4">
    <w:name w:val="heading 4"/>
    <w:next w:val="Normal"/>
    <w:link w:val="Titre4Car"/>
    <w:uiPriority w:val="9"/>
    <w:qFormat/>
    <w:pPr>
      <w:tabs>
        <w:tab w:val="num" w:pos="864"/>
      </w:tabs>
      <w:spacing w:before="120" w:after="120"/>
      <w:ind w:firstLine="284"/>
      <w:outlineLvl w:val="3"/>
    </w:pPr>
    <w:rPr>
      <w:rFonts w:eastAsiaTheme="minorEastAsia"/>
      <w:b/>
      <w:bCs/>
      <w:iCs/>
      <w:color w:val="9900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D2BDB"/>
    <w:rPr>
      <w:rFonts w:ascii="Calibri" w:eastAsiaTheme="minorEastAsia" w:hAnsi="Calibri"/>
      <w:b/>
      <w:bCs/>
      <w:color w:val="00206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C0F68"/>
    <w:rPr>
      <w:rFonts w:ascii="Calibri" w:eastAsiaTheme="minorEastAsia" w:hAnsi="Calibri"/>
      <w:b/>
      <w:bCs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C0F68"/>
    <w:rPr>
      <w:rFonts w:ascii="Calibri" w:eastAsiaTheme="minorEastAsia" w:hAnsi="Calibri"/>
      <w:b/>
      <w:bCs/>
      <w:color w:val="002060"/>
      <w:sz w:val="22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Pr>
      <w:rFonts w:eastAsia="Times New Roman"/>
      <w:sz w:val="20"/>
      <w:szCs w:val="20"/>
    </w:rPr>
  </w:style>
  <w:style w:type="paragraph" w:styleId="TM2">
    <w:name w:val="toc 2"/>
    <w:basedOn w:val="Normal"/>
    <w:next w:val="Normal"/>
    <w:autoRedefine/>
    <w:uiPriority w:val="39"/>
    <w:semiHidden/>
    <w:unhideWhenUsed/>
    <w:pPr>
      <w:ind w:left="200"/>
    </w:pPr>
    <w:rPr>
      <w:rFonts w:eastAsia="Times New Roman"/>
      <w:sz w:val="20"/>
      <w:szCs w:val="20"/>
    </w:rPr>
  </w:style>
  <w:style w:type="paragraph" w:styleId="TM3">
    <w:name w:val="toc 3"/>
    <w:basedOn w:val="Normal"/>
    <w:next w:val="Normal"/>
    <w:autoRedefine/>
    <w:uiPriority w:val="39"/>
    <w:semiHidden/>
    <w:unhideWhenUsed/>
    <w:pPr>
      <w:ind w:left="400"/>
    </w:pPr>
    <w:rPr>
      <w:rFonts w:eastAsia="Times New Roman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pPr>
      <w:ind w:left="600"/>
    </w:pPr>
    <w:rPr>
      <w:rFonts w:eastAsia="Times New Roman"/>
      <w:sz w:val="20"/>
      <w:szCs w:val="20"/>
    </w:rPr>
  </w:style>
  <w:style w:type="paragraph" w:customStyle="1" w:styleId="Usuel">
    <w:name w:val="Usuel"/>
    <w:basedOn w:val="Normal"/>
    <w:pPr>
      <w:spacing w:line="300" w:lineRule="atLeast"/>
      <w:ind w:firstLine="567"/>
    </w:pPr>
    <w:rPr>
      <w:rFonts w:eastAsia="Times New Roman"/>
    </w:rPr>
  </w:style>
  <w:style w:type="paragraph" w:customStyle="1" w:styleId="Notes">
    <w:name w:val="Notes"/>
    <w:basedOn w:val="Usuel"/>
    <w:pPr>
      <w:spacing w:before="240" w:after="240"/>
    </w:pPr>
    <w:rPr>
      <w:rFonts w:ascii="Arial" w:hAnsi="Arial"/>
      <w:color w:val="00800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uiPriority w:val="10"/>
    <w:qFormat/>
    <w:rsid w:val="00BC0F6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0F68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477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 des livres des petits prophètes</vt:lpstr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 des livres des petits prophètes</dc:title>
  <dc:subject>Sommaire des livres des petits prophètes</dc:subject>
  <dc:creator>Muller Jean (http://www.bibliquest.org)</dc:creator>
  <cp:keywords>prophètes, petits, sommaire, prophétie, événements, histoire, futur, fin des temps,</cp:keywords>
  <cp:lastModifiedBy>Claude Beauport</cp:lastModifiedBy>
  <cp:revision>7</cp:revision>
  <cp:lastPrinted>2013-12-15T06:04:00Z</cp:lastPrinted>
  <dcterms:created xsi:type="dcterms:W3CDTF">2013-12-14T09:19:00Z</dcterms:created>
  <dcterms:modified xsi:type="dcterms:W3CDTF">2013-12-15T06:04:00Z</dcterms:modified>
  <cp:category>christianisme</cp:category>
</cp:coreProperties>
</file>